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color w:val="660000"/>
          <w:sz w:val="24"/>
          <w:szCs w:val="24"/>
          <w:u w:val="single"/>
        </w:rPr>
      </w:pPr>
      <w:r w:rsidDel="00000000" w:rsidR="00000000" w:rsidRPr="00000000">
        <w:rPr>
          <w:b w:val="1"/>
          <w:color w:val="73450f"/>
          <w:sz w:val="24"/>
          <w:szCs w:val="24"/>
          <w:u w:val="single"/>
          <w:rtl w:val="0"/>
        </w:rPr>
        <w:t xml:space="preserve">When?</w:t>
      </w:r>
      <w:r w:rsidDel="00000000" w:rsidR="00000000" w:rsidRPr="00000000">
        <w:rPr>
          <w:b w:val="1"/>
          <w:color w:val="660000"/>
          <w:sz w:val="24"/>
          <w:szCs w:val="24"/>
          <w:u w:val="single"/>
          <w:rtl w:val="0"/>
        </w:rPr>
        <w:tab/>
      </w:r>
    </w:p>
    <w:p w:rsidR="00000000" w:rsidDel="00000000" w:rsidP="00000000" w:rsidRDefault="00000000" w:rsidRPr="00000000" w14:paraId="00000002">
      <w:pPr>
        <w:rPr>
          <w:b w:val="1"/>
          <w:color w:val="00a933"/>
          <w:sz w:val="24"/>
          <w:szCs w:val="24"/>
          <w:u w:val="single"/>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1. Introduce the ‘when’ brown coloured cue card. </w:t>
      </w:r>
    </w:p>
    <w:p w:rsidR="00000000" w:rsidDel="00000000" w:rsidP="00000000" w:rsidRDefault="00000000" w:rsidRPr="00000000" w14:paraId="00000004">
      <w:pPr>
        <w:rPr>
          <w:sz w:val="24"/>
          <w:szCs w:val="24"/>
        </w:rPr>
      </w:pPr>
      <w:r w:rsidDel="00000000" w:rsidR="00000000" w:rsidRPr="00000000">
        <w:rPr>
          <w:sz w:val="24"/>
          <w:szCs w:val="24"/>
          <w:rtl w:val="0"/>
        </w:rPr>
        <w:t xml:space="preserve">2. Depending on the age/ability of the child, the tasks to teach ‘when?’ may vary.</w:t>
      </w:r>
    </w:p>
    <w:p w:rsidR="00000000" w:rsidDel="00000000" w:rsidP="00000000" w:rsidRDefault="00000000" w:rsidRPr="00000000" w14:paraId="00000005">
      <w:pPr>
        <w:rPr>
          <w:sz w:val="24"/>
          <w:szCs w:val="24"/>
        </w:rPr>
      </w:pPr>
      <w:r w:rsidDel="00000000" w:rsidR="00000000" w:rsidRPr="00000000">
        <w:rPr>
          <w:rtl w:val="0"/>
        </w:rPr>
      </w:r>
    </w:p>
    <w:p w:rsidR="00000000" w:rsidDel="00000000" w:rsidP="00000000" w:rsidRDefault="00000000" w:rsidRPr="00000000" w14:paraId="00000006">
      <w:pPr>
        <w:numPr>
          <w:ilvl w:val="0"/>
          <w:numId w:val="1"/>
        </w:numPr>
        <w:ind w:left="720" w:hanging="360"/>
        <w:rPr>
          <w:sz w:val="24"/>
          <w:szCs w:val="24"/>
          <w:u w:val="none"/>
        </w:rPr>
      </w:pPr>
      <w:r w:rsidDel="00000000" w:rsidR="00000000" w:rsidRPr="00000000">
        <w:rPr>
          <w:sz w:val="24"/>
          <w:szCs w:val="24"/>
          <w:rtl w:val="0"/>
        </w:rPr>
        <w:t xml:space="preserve">Think of different activities that your children do during the day e.g. eat breakfast, wake up, go to sleep, go to school, eat dinner, stay at home (weekend), when do you get presents?. You should ask the child a question e.g. ‘when do you eat your breakfast?’ and then provide them with two choices e.g. in the morning or at night. These should be provided as visual choices as well as verbal choices (see symbols below). </w:t>
      </w:r>
    </w:p>
    <w:p w:rsidR="00000000" w:rsidDel="00000000" w:rsidP="00000000" w:rsidRDefault="00000000" w:rsidRPr="00000000" w14:paraId="00000007">
      <w:pPr>
        <w:numPr>
          <w:ilvl w:val="0"/>
          <w:numId w:val="1"/>
        </w:numPr>
        <w:ind w:left="720" w:hanging="360"/>
        <w:rPr>
          <w:sz w:val="24"/>
          <w:szCs w:val="24"/>
          <w:u w:val="none"/>
        </w:rPr>
      </w:pPr>
      <w:r w:rsidDel="00000000" w:rsidR="00000000" w:rsidRPr="00000000">
        <w:rPr>
          <w:sz w:val="24"/>
          <w:szCs w:val="24"/>
          <w:rtl w:val="0"/>
        </w:rPr>
        <w:t xml:space="preserve">Questions will vary depending on the age of the child. Exact times of things may not be included until an older age and younger children may focus more on ‘when’ questions which include a major event as this may be easier for them to understand such as Christmas, Easter, birthdays etc. Symbols could also be made easier to understand by ‘when’ words being ‘Christmas time’ e.g. when do you get a Christmas tree and the answer could be ‘Christmas time’ rather than ‘December’. </w:t>
      </w:r>
    </w:p>
    <w:p w:rsidR="00000000" w:rsidDel="00000000" w:rsidP="00000000" w:rsidRDefault="00000000" w:rsidRPr="00000000" w14:paraId="00000008">
      <w:pPr>
        <w:rPr>
          <w:sz w:val="24"/>
          <w:szCs w:val="24"/>
        </w:rPr>
      </w:pPr>
      <w:r w:rsidDel="00000000" w:rsidR="00000000" w:rsidRPr="00000000">
        <w:rPr>
          <w:sz w:val="24"/>
          <w:szCs w:val="24"/>
        </w:rPr>
        <w:drawing>
          <wp:inline distB="114300" distT="114300" distL="114300" distR="114300">
            <wp:extent cx="6253163" cy="4333875"/>
            <wp:effectExtent b="0" l="0" r="0" t="0"/>
            <wp:docPr id="2" name="image2.png"/>
            <a:graphic>
              <a:graphicData uri="http://schemas.openxmlformats.org/drawingml/2006/picture">
                <pic:pic>
                  <pic:nvPicPr>
                    <pic:cNvPr id="0" name="image2.png"/>
                    <pic:cNvPicPr preferRelativeResize="0"/>
                  </pic:nvPicPr>
                  <pic:blipFill>
                    <a:blip r:embed="rId6"/>
                    <a:srcRect b="16224" l="31398" r="28393" t="30383"/>
                    <a:stretch>
                      <a:fillRect/>
                    </a:stretch>
                  </pic:blipFill>
                  <pic:spPr>
                    <a:xfrm>
                      <a:off x="0" y="0"/>
                      <a:ext cx="6253163" cy="433387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4791075</wp:posOffset>
            </wp:positionH>
            <wp:positionV relativeFrom="paragraph">
              <wp:posOffset>1567050</wp:posOffset>
            </wp:positionV>
            <wp:extent cx="1519238" cy="315313"/>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519238" cy="315313"/>
                    </a:xfrm>
                    <a:prstGeom prst="rect"/>
                    <a:ln/>
                  </pic:spPr>
                </pic:pic>
              </a:graphicData>
            </a:graphic>
          </wp:anchor>
        </w:drawing>
      </w:r>
    </w:p>
    <w:sectPr>
      <w:footerReference r:id="rId8" w:type="default"/>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ind w:left="-708.6614173228347" w:firstLine="0"/>
      <w:rPr>
        <w:b w:val="1"/>
        <w:i w:val="1"/>
        <w:sz w:val="18"/>
        <w:szCs w:val="18"/>
      </w:rPr>
    </w:pPr>
    <w:r w:rsidDel="00000000" w:rsidR="00000000" w:rsidRPr="00000000">
      <w:rPr>
        <w:b w:val="1"/>
        <w:i w:val="1"/>
        <w:sz w:val="18"/>
        <w:szCs w:val="18"/>
        <w:rtl w:val="0"/>
      </w:rPr>
      <w:t xml:space="preserve">Colourful Semantics is a system created by Alison Bryan - resource created with</w:t>
    </w:r>
  </w:p>
  <w:p w:rsidR="00000000" w:rsidDel="00000000" w:rsidP="00000000" w:rsidRDefault="00000000" w:rsidRPr="00000000" w14:paraId="00000010">
    <w:pPr>
      <w:ind w:left="-708.6614173228347" w:firstLine="0"/>
      <w:rPr>
        <w:b w:val="1"/>
        <w:i w:val="1"/>
        <w:sz w:val="18"/>
        <w:szCs w:val="18"/>
      </w:rPr>
    </w:pPr>
    <w:r w:rsidDel="00000000" w:rsidR="00000000" w:rsidRPr="00000000">
      <w:rPr>
        <w:rtl w:val="0"/>
      </w:rPr>
    </w:r>
  </w:p>
  <w:p w:rsidR="00000000" w:rsidDel="00000000" w:rsidP="00000000" w:rsidRDefault="00000000" w:rsidRPr="00000000" w14:paraId="00000011">
    <w:pPr>
      <w:ind w:left="-708.6614173228347" w:firstLine="0"/>
      <w:rPr/>
    </w:pPr>
    <w:r w:rsidDel="00000000" w:rsidR="00000000" w:rsidRPr="00000000">
      <w:rPr>
        <w:b w:val="1"/>
        <w:i w:val="1"/>
        <w:sz w:val="18"/>
        <w:szCs w:val="18"/>
        <w:rtl w:val="0"/>
      </w:rPr>
      <w:t xml:space="preserve">For more information please contact us on info@integratedtreatments.co.uk</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image" Target="media/image2.png"/><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41617B1DEF8147B930BF3EA0EE1D57" ma:contentTypeVersion="19" ma:contentTypeDescription="Create a new document." ma:contentTypeScope="" ma:versionID="ef759e06c72f470d887876e305bd35d3">
  <xsd:schema xmlns:xsd="http://www.w3.org/2001/XMLSchema" xmlns:xs="http://www.w3.org/2001/XMLSchema" xmlns:p="http://schemas.microsoft.com/office/2006/metadata/properties" xmlns:ns2="f329ba11-840f-4513-800f-dfa4e69ecff9" xmlns:ns3="ac589974-117d-4f4c-a880-af19c0fae4fc" xmlns:ns4="fef697a3-94e2-46b3-9b31-65aee3821361" targetNamespace="http://schemas.microsoft.com/office/2006/metadata/properties" ma:root="true" ma:fieldsID="14951a10fd3d36048af534db1d0f5885" ns2:_="" ns3:_="" ns4:_="">
    <xsd:import namespace="f329ba11-840f-4513-800f-dfa4e69ecff9"/>
    <xsd:import namespace="ac589974-117d-4f4c-a880-af19c0fae4fc"/>
    <xsd:import namespace="fef697a3-94e2-46b3-9b31-65aee3821361"/>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4:TaxCatchAl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29ba11-840f-4513-800f-dfa4e69ecff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c589974-117d-4f4c-a880-af19c0fae4f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cdcb8728-9659-4eac-ae3d-af31a1dbd90b"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f697a3-94e2-46b3-9b31-65aee3821361"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25ae1e29-7b46-46ea-8805-0957c0a44b79}" ma:internalName="TaxCatchAll" ma:showField="CatchAllData" ma:web="fef697a3-94e2-46b3-9b31-65aee3821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30469E-4D02-4E29-AC1F-CBB69B009A63}"/>
</file>

<file path=customXml/itemProps2.xml><?xml version="1.0" encoding="utf-8"?>
<ds:datastoreItem xmlns:ds="http://schemas.openxmlformats.org/officeDocument/2006/customXml" ds:itemID="{1351FBDF-8163-4F59-AD02-D0D6057E5AE3}"/>
</file>